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CB7DD">
      <w:pPr>
        <w:pStyle w:val="2"/>
        <w:keepNext w:val="0"/>
        <w:keepLines w:val="0"/>
        <w:widowControl/>
        <w:suppressLineNumbers w:val="0"/>
        <w:spacing w:after="0" w:afterAutospacing="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贵州省高级人民法院破产管理申请入册自评分表</w:t>
      </w:r>
    </w:p>
    <w:p w14:paraId="5F9E61B7">
      <w:pPr>
        <w:pStyle w:val="2"/>
        <w:keepNext w:val="0"/>
        <w:keepLines w:val="0"/>
        <w:widowControl/>
        <w:suppressLineNumbers w:val="0"/>
      </w:pPr>
    </w:p>
    <w:tbl>
      <w:tblPr>
        <w:tblStyle w:val="3"/>
        <w:tblW w:w="806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7"/>
        <w:gridCol w:w="1136"/>
        <w:gridCol w:w="3086"/>
        <w:gridCol w:w="522"/>
        <w:gridCol w:w="522"/>
        <w:gridCol w:w="522"/>
        <w:gridCol w:w="491"/>
        <w:gridCol w:w="916"/>
      </w:tblGrid>
      <w:tr w14:paraId="3610E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tblCellSpacing w:w="0" w:type="dxa"/>
          <w:jc w:val="center"/>
        </w:trPr>
        <w:tc>
          <w:tcPr>
            <w:tcW w:w="200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2B4D15"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申请人名称</w:t>
            </w:r>
          </w:p>
        </w:tc>
        <w:tc>
          <w:tcPr>
            <w:tcW w:w="5143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963A04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530EA7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</w:tr>
      <w:tr w14:paraId="70F09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6" w:hRule="atLeast"/>
          <w:tblCellSpacing w:w="0" w:type="dxa"/>
          <w:jc w:val="center"/>
        </w:trPr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D93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C9CB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eastAsia="仿宋_GB2312" w:cs="仿宋_GB2312"/>
                <w:sz w:val="28"/>
                <w:szCs w:val="28"/>
              </w:rPr>
            </w:pPr>
          </w:p>
          <w:p w14:paraId="5D0EFD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eastAsia="仿宋_GB2312" w:cs="仿宋_GB2312"/>
                <w:sz w:val="28"/>
                <w:szCs w:val="28"/>
              </w:rPr>
            </w:pPr>
          </w:p>
          <w:p w14:paraId="546AA0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项目</w:t>
            </w:r>
          </w:p>
        </w:tc>
        <w:tc>
          <w:tcPr>
            <w:tcW w:w="30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B820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自我评分（注：请根据要求注明自评分及依据，并标注印证资料在申请资料中的具体页码） </w:t>
            </w: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8847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子项</w:t>
            </w:r>
          </w:p>
          <w:p w14:paraId="2C7651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  <w:p w14:paraId="1ED701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1E95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数量</w:t>
            </w:r>
          </w:p>
          <w:p w14:paraId="172E4E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D966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页码</w:t>
            </w: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DF57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得分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C359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该项总分</w:t>
            </w:r>
          </w:p>
        </w:tc>
      </w:tr>
      <w:tr w14:paraId="276E9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3" w:hRule="atLeast"/>
          <w:tblCellSpacing w:w="0" w:type="dxa"/>
          <w:jc w:val="center"/>
        </w:trPr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BA2D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eastAsia="仿宋_GB2312" w:cs="仿宋_GB2312"/>
                <w:sz w:val="28"/>
                <w:szCs w:val="28"/>
              </w:rPr>
            </w:pPr>
          </w:p>
          <w:p w14:paraId="5B41F3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eastAsia="仿宋_GB2312" w:cs="仿宋_GB2312"/>
                <w:sz w:val="28"/>
                <w:szCs w:val="28"/>
              </w:rPr>
            </w:pPr>
          </w:p>
          <w:p w14:paraId="6675FC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一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5B41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机构</w:t>
            </w:r>
          </w:p>
          <w:p w14:paraId="59F54C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规模</w:t>
            </w:r>
          </w:p>
          <w:p w14:paraId="60AAE4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（20分）</w:t>
            </w:r>
          </w:p>
        </w:tc>
        <w:tc>
          <w:tcPr>
            <w:tcW w:w="30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AD1A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1.具备公告要求的具有相应执业资格的专职从业人员（10人以上8分，每增加5人增加1分，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≦</w:t>
            </w:r>
            <w:r>
              <w:rPr>
                <w:rFonts w:hint="default" w:ascii="仿宋_GB2312" w:eastAsia="仿宋_GB2312" w:cs="仿宋_GB2312"/>
                <w:sz w:val="28"/>
                <w:szCs w:val="28"/>
              </w:rPr>
              <w:t>20分）； </w:t>
            </w: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1AC5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C3B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3AD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A50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AA4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71731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  <w:tblCellSpacing w:w="0" w:type="dxa"/>
          <w:jc w:val="center"/>
        </w:trPr>
        <w:tc>
          <w:tcPr>
            <w:tcW w:w="86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953C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eastAsia="仿宋_GB2312" w:cs="仿宋_GB2312"/>
                <w:sz w:val="28"/>
                <w:szCs w:val="28"/>
              </w:rPr>
            </w:pPr>
          </w:p>
          <w:p w14:paraId="5F1D43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eastAsia="仿宋_GB2312" w:cs="仿宋_GB2312"/>
                <w:sz w:val="28"/>
                <w:szCs w:val="28"/>
              </w:rPr>
            </w:pPr>
          </w:p>
          <w:p w14:paraId="530E5E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eastAsia="仿宋_GB2312" w:cs="仿宋_GB2312"/>
                <w:sz w:val="28"/>
                <w:szCs w:val="28"/>
              </w:rPr>
            </w:pPr>
          </w:p>
          <w:p w14:paraId="35F6BE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eastAsia="仿宋_GB2312" w:cs="仿宋_GB2312"/>
                <w:sz w:val="28"/>
                <w:szCs w:val="28"/>
              </w:rPr>
            </w:pPr>
          </w:p>
          <w:p w14:paraId="0E0808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二</w:t>
            </w:r>
          </w:p>
        </w:tc>
        <w:tc>
          <w:tcPr>
            <w:tcW w:w="113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60AA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eastAsia="仿宋_GB2312" w:cs="仿宋_GB2312"/>
                <w:sz w:val="28"/>
                <w:szCs w:val="28"/>
              </w:rPr>
            </w:pPr>
          </w:p>
          <w:p w14:paraId="555A61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eastAsia="仿宋_GB2312" w:cs="仿宋_GB2312"/>
                <w:sz w:val="28"/>
                <w:szCs w:val="28"/>
              </w:rPr>
            </w:pPr>
          </w:p>
          <w:p w14:paraId="54B35C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eastAsia="仿宋_GB2312" w:cs="仿宋_GB2312"/>
                <w:sz w:val="28"/>
                <w:szCs w:val="28"/>
              </w:rPr>
            </w:pPr>
          </w:p>
          <w:p w14:paraId="5EFE81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eastAsia="仿宋_GB2312" w:cs="仿宋_GB2312"/>
                <w:sz w:val="28"/>
                <w:szCs w:val="28"/>
              </w:rPr>
            </w:pPr>
          </w:p>
          <w:p w14:paraId="5E8C73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执业</w:t>
            </w:r>
          </w:p>
          <w:p w14:paraId="6CC72C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业绩</w:t>
            </w:r>
          </w:p>
          <w:p w14:paraId="200D5F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（22分）</w:t>
            </w:r>
          </w:p>
        </w:tc>
        <w:tc>
          <w:tcPr>
            <w:tcW w:w="308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4621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1.成立年限（成立达1年的，计1分，每增加1年增计0.5分，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≦</w:t>
            </w:r>
            <w:r>
              <w:rPr>
                <w:rFonts w:hint="default" w:ascii="仿宋_GB2312" w:eastAsia="仿宋_GB2312" w:cs="仿宋_GB2312"/>
                <w:sz w:val="28"/>
                <w:szCs w:val="28"/>
              </w:rPr>
              <w:t>5分）；</w:t>
            </w:r>
          </w:p>
          <w:p w14:paraId="0C5B8F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2.业务收入（年人均收入10万-20万，计2分，每增加10万元，增计0.5分，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≦</w:t>
            </w:r>
            <w:r>
              <w:rPr>
                <w:rFonts w:hint="default" w:ascii="仿宋_GB2312" w:eastAsia="仿宋_GB2312" w:cs="仿宋_GB2312"/>
                <w:sz w:val="28"/>
                <w:szCs w:val="28"/>
              </w:rPr>
              <w:t>5分）；</w:t>
            </w:r>
          </w:p>
          <w:p w14:paraId="4500D8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3.执业表彰（市级0.5分/次；省级计1分/次；国家级计2分/次；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≦</w:t>
            </w:r>
            <w:r>
              <w:rPr>
                <w:rFonts w:hint="default" w:ascii="仿宋_GB2312" w:eastAsia="仿宋_GB2312" w:cs="仿宋_GB2312"/>
                <w:sz w:val="28"/>
                <w:szCs w:val="28"/>
              </w:rPr>
              <w:t>12分）；</w:t>
            </w:r>
          </w:p>
          <w:p w14:paraId="5F1C98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 </w:t>
            </w: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B8CA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321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107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8A5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5D1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7CC36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  <w:tblCellSpacing w:w="0" w:type="dxa"/>
          <w:jc w:val="center"/>
        </w:trPr>
        <w:tc>
          <w:tcPr>
            <w:tcW w:w="8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409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5C3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308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766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FBB5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F67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DEA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183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565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</w:tr>
      <w:tr w14:paraId="1FF15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  <w:tblCellSpacing w:w="0" w:type="dxa"/>
          <w:jc w:val="center"/>
        </w:trPr>
        <w:tc>
          <w:tcPr>
            <w:tcW w:w="8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541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4CD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308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009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9397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019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7D0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9BF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B55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</w:tr>
      <w:tr w14:paraId="17044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  <w:tblCellSpacing w:w="0" w:type="dxa"/>
          <w:jc w:val="center"/>
        </w:trPr>
        <w:tc>
          <w:tcPr>
            <w:tcW w:w="86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B1D9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</w:pPr>
          </w:p>
          <w:p w14:paraId="5E68C7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</w:pPr>
          </w:p>
          <w:p w14:paraId="3E7FAC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</w:pPr>
          </w:p>
          <w:p w14:paraId="06AFCCC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</w:pPr>
          </w:p>
          <w:p w14:paraId="6F8DFF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</w:pPr>
          </w:p>
          <w:p w14:paraId="491500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</w:pPr>
          </w:p>
          <w:p w14:paraId="3C6307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三</w:t>
            </w:r>
          </w:p>
        </w:tc>
        <w:tc>
          <w:tcPr>
            <w:tcW w:w="113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ADB1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</w:pPr>
          </w:p>
          <w:p w14:paraId="054499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</w:pPr>
          </w:p>
          <w:p w14:paraId="31CAE5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</w:pPr>
          </w:p>
          <w:p w14:paraId="5EEDA7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</w:pPr>
          </w:p>
          <w:p w14:paraId="3376CC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</w:pPr>
          </w:p>
          <w:p w14:paraId="3F8A5D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职业</w:t>
            </w:r>
          </w:p>
          <w:p w14:paraId="71DEF8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经验</w:t>
            </w:r>
          </w:p>
          <w:p w14:paraId="1E7C30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  <w:t>（37分）</w:t>
            </w:r>
          </w:p>
        </w:tc>
        <w:tc>
          <w:tcPr>
            <w:tcW w:w="308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181E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1.担任破产管理人（2分/件，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≦</w:t>
            </w: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12分）；</w:t>
            </w:r>
          </w:p>
          <w:p w14:paraId="161F65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2.承担兼并重组、企业改制、公司清算等诉讼及非诉业务（2分/件，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≦</w:t>
            </w: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12</w:t>
            </w: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</w:rPr>
              <w:t>分）;</w:t>
            </w:r>
          </w:p>
          <w:p w14:paraId="59C110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3. 所内专职律师、会计师、清算师、税务师受聘清算组或参与办理过企业破产、清算事务（1分/件，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≦</w:t>
            </w: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10分）；</w:t>
            </w:r>
          </w:p>
          <w:p w14:paraId="114C7C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4.组建专门的清算与破产团队并建立管理制度（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1</w:t>
            </w: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分）；</w:t>
            </w:r>
          </w:p>
          <w:p w14:paraId="09A4EE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5.加入破产管理人协会（2分）</w:t>
            </w:r>
          </w:p>
          <w:p w14:paraId="6B14B8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 </w:t>
            </w: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120E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0C3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82D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40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B00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23A38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  <w:tblCellSpacing w:w="0" w:type="dxa"/>
          <w:jc w:val="center"/>
        </w:trPr>
        <w:tc>
          <w:tcPr>
            <w:tcW w:w="8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366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D16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308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E41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B5D8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0EB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D9F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1D4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1159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</w:tr>
      <w:tr w14:paraId="3D4E0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  <w:tblCellSpacing w:w="0" w:type="dxa"/>
          <w:jc w:val="center"/>
        </w:trPr>
        <w:tc>
          <w:tcPr>
            <w:tcW w:w="8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288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F99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308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25B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31B0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347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EA5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810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FB1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</w:tr>
      <w:tr w14:paraId="19BC0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  <w:tblCellSpacing w:w="0" w:type="dxa"/>
          <w:jc w:val="center"/>
        </w:trPr>
        <w:tc>
          <w:tcPr>
            <w:tcW w:w="8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18C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B12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308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6BB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CBE3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F9D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044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08B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F91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</w:tr>
      <w:tr w14:paraId="2DEB1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  <w:tblCellSpacing w:w="0" w:type="dxa"/>
          <w:jc w:val="center"/>
        </w:trPr>
        <w:tc>
          <w:tcPr>
            <w:tcW w:w="8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ED1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B7B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308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027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1813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CFF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96E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909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784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</w:tr>
      <w:tr w14:paraId="2AA5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  <w:tblCellSpacing w:w="0" w:type="dxa"/>
          <w:jc w:val="center"/>
        </w:trPr>
        <w:tc>
          <w:tcPr>
            <w:tcW w:w="86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D1E0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</w:pPr>
          </w:p>
          <w:p w14:paraId="10C488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</w:pPr>
          </w:p>
          <w:p w14:paraId="7DC2D4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</w:pPr>
          </w:p>
          <w:p w14:paraId="130D80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</w:pPr>
          </w:p>
          <w:p w14:paraId="1C83BF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</w:pPr>
          </w:p>
          <w:p w14:paraId="29583C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四</w:t>
            </w:r>
          </w:p>
        </w:tc>
        <w:tc>
          <w:tcPr>
            <w:tcW w:w="113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BB4E1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</w:pPr>
          </w:p>
          <w:p w14:paraId="7FEA48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</w:pPr>
          </w:p>
          <w:p w14:paraId="60E39A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</w:pPr>
          </w:p>
          <w:p w14:paraId="67DC6A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</w:pPr>
          </w:p>
          <w:p w14:paraId="41E71B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专业</w:t>
            </w:r>
          </w:p>
          <w:p w14:paraId="3727D5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能力</w:t>
            </w:r>
          </w:p>
          <w:p w14:paraId="0225E3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  <w:t>（16分）</w:t>
            </w:r>
          </w:p>
        </w:tc>
        <w:tc>
          <w:tcPr>
            <w:tcW w:w="308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F08B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1.举办企业破产、公司清算类研讨会或论坛，（主办2分/次，协办1分/次，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≦6</w:t>
            </w: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分）；</w:t>
            </w:r>
          </w:p>
          <w:p w14:paraId="5B7D0C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2.本所现有专职人员发表强制清算、破产类文章（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≦</w:t>
            </w: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10分）；</w:t>
            </w:r>
          </w:p>
          <w:p w14:paraId="10BAD6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3.参加公司法及破产清算相关培训及论坛；</w:t>
            </w:r>
          </w:p>
          <w:p w14:paraId="21BE22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4.专职从业人员具有相关资格</w:t>
            </w: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6444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eastAsia="仿宋_GB2312" w:cs="仿宋_GB2312"/>
                <w:kern w:val="2"/>
                <w:sz w:val="28"/>
                <w:szCs w:val="28"/>
              </w:rPr>
              <w:t>1</w:t>
            </w: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55D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C9C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1F2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473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34BCC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  <w:tblCellSpacing w:w="0" w:type="dxa"/>
          <w:jc w:val="center"/>
        </w:trPr>
        <w:tc>
          <w:tcPr>
            <w:tcW w:w="8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953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C0B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308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A04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31D6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231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DB4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DAA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E8F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</w:tr>
      <w:tr w14:paraId="76080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  <w:tblCellSpacing w:w="0" w:type="dxa"/>
          <w:jc w:val="center"/>
        </w:trPr>
        <w:tc>
          <w:tcPr>
            <w:tcW w:w="8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5AA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3DF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308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1D5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EDA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26F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F8E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F58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597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</w:tr>
      <w:tr w14:paraId="31937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  <w:tblCellSpacing w:w="0" w:type="dxa"/>
          <w:jc w:val="center"/>
        </w:trPr>
        <w:tc>
          <w:tcPr>
            <w:tcW w:w="8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90A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11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C91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308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FCA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7DF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9D8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A16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C83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E77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/>
                <w:sz w:val="28"/>
                <w:szCs w:val="28"/>
              </w:rPr>
            </w:pPr>
          </w:p>
        </w:tc>
      </w:tr>
      <w:tr w14:paraId="0CD6C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7EFA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</w:pPr>
          </w:p>
          <w:p w14:paraId="41263A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五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AD09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职业责任保险</w:t>
            </w: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  <w:t>（5分）</w:t>
            </w:r>
          </w:p>
        </w:tc>
        <w:tc>
          <w:tcPr>
            <w:tcW w:w="30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AA9A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1.购买职业责任保险保额达到</w:t>
            </w: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</w:rPr>
              <w:t>200万元的</w:t>
            </w: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，计1分</w:t>
            </w:r>
            <w:r>
              <w:rPr>
                <w:rFonts w:hint="default" w:ascii="仿宋_GB2312" w:hAnsi="Calibri" w:eastAsia="仿宋_GB2312" w:cs="仿宋_GB2312"/>
                <w:kern w:val="2"/>
                <w:sz w:val="28"/>
                <w:szCs w:val="28"/>
              </w:rPr>
              <w:t>，每增加100万元</w:t>
            </w: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增计1分。（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  <w:t>≦</w:t>
            </w: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5分）</w:t>
            </w: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DAB1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B2C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22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F55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87C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0EF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51D93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3" w:hRule="atLeast"/>
          <w:tblCellSpacing w:w="0" w:type="dxa"/>
          <w:jc w:val="center"/>
        </w:trPr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F03D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</w:pPr>
          </w:p>
          <w:p w14:paraId="508B57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六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EBF0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</w:pPr>
          </w:p>
          <w:p w14:paraId="66B5B7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备注</w:t>
            </w:r>
          </w:p>
        </w:tc>
        <w:tc>
          <w:tcPr>
            <w:tcW w:w="308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7290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已在册管理人不参与本次申报</w:t>
            </w:r>
          </w:p>
          <w:p w14:paraId="06B8E9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 </w:t>
            </w:r>
          </w:p>
        </w:tc>
        <w:tc>
          <w:tcPr>
            <w:tcW w:w="2057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B2A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05C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5C76F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tblCellSpacing w:w="0" w:type="dxa"/>
          <w:jc w:val="center"/>
        </w:trPr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7620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七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48ED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</w:rPr>
              <w:t>总分</w:t>
            </w:r>
          </w:p>
        </w:tc>
        <w:tc>
          <w:tcPr>
            <w:tcW w:w="6059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A7E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</w:tbl>
    <w:p w14:paraId="4CF180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ZTY0ZmJjZmZlYzFiMjg1N2U1N2I0NjZmM2Y1ZGYifQ=="/>
  </w:docVars>
  <w:rsids>
    <w:rsidRoot w:val="1F2643FF"/>
    <w:rsid w:val="01BF5575"/>
    <w:rsid w:val="093D1475"/>
    <w:rsid w:val="1F2643FF"/>
    <w:rsid w:val="26CB1A16"/>
    <w:rsid w:val="2FAF6379"/>
    <w:rsid w:val="58C3162E"/>
    <w:rsid w:val="616C3EA8"/>
    <w:rsid w:val="65605444"/>
    <w:rsid w:val="66AB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1051</Words>
  <Characters>1093</Characters>
  <Lines>0</Lines>
  <Paragraphs>0</Paragraphs>
  <TotalTime>27</TotalTime>
  <ScaleCrop>false</ScaleCrop>
  <LinksUpToDate>false</LinksUpToDate>
  <CharactersWithSpaces>1107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2024-09-02T06:36:00Z</dcterms:created>
  <dc:creator>恍曦若璃</dc:creator>
  <cp:lastModifiedBy>恍曦若璃</cp:lastModifiedBy>
  <dcterms:modified xsi:type="dcterms:W3CDTF">2024-09-02T07:08:47Z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8AB2D9B726A8455288C717732DF7ABEC_13</vt:lpwstr>
  </property>
</Properties>
</file>